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Ugovor o održavanju informatičke opreme</w:t>
      </w:r>
    </w:p>
    <w:p>
      <w:r>
        <w:rPr>
          <w:i/>
          <w:color w:val="5D5A78"/>
          <w:sz w:val="18"/>
        </w:rPr>
        <w:t>Izmišljeni ugovor za vježbe AI Akademije (aiakademija.hr). Tvrtke ne postoje; ugovor nije pravni predložak.</w:t>
      </w:r>
    </w:p>
    <w:p>
      <w:r>
        <w:t>UGOVOR O ODRŽAVANJU INFORMATIČKE OPREME</w:t>
      </w:r>
    </w:p>
    <w:p>
      <w:pPr>
        <w:pStyle w:val="Heading2"/>
      </w:pPr>
      <w:r>
        <w:t>Članak 1. Ugovorne strane</w:t>
      </w:r>
    </w:p>
    <w:p>
      <w:r>
        <w:t>Naručitelj: Računovodstvo Bilanca d.o.o., Zagreb. Izvršitelj: IT Servis Mreža d.o.o., Zagreb.</w:t>
      </w:r>
    </w:p>
    <w:p>
      <w:pPr>
        <w:pStyle w:val="Heading2"/>
      </w:pPr>
      <w:r>
        <w:t>Članak 2. Predmet ugovora</w:t>
      </w:r>
    </w:p>
    <w:p>
      <w:r>
        <w:t>(1) Izvršitelj se obvezuje održavati informatičku opremu Naručitelja: 18 radnih računala, 2 mrežna pisača i 1 poslužitelj, uključujući redovno preventivno održavanje jednom mjesečno, otklanjanje kvarova i ažuriranje sustava.</w:t>
      </w:r>
    </w:p>
    <w:p>
      <w:r>
        <w:t>(2) Popis opreme nalazi se u Prilogu 1 koji je sastavni dio Ugovora.</w:t>
      </w:r>
    </w:p>
    <w:p>
      <w:pPr>
        <w:pStyle w:val="Heading2"/>
      </w:pPr>
      <w:r>
        <w:t>Članak 3. Trajanje</w:t>
      </w:r>
    </w:p>
    <w:p>
      <w:r>
        <w:t>(1) Ugovor se sklapa na razdoblje od 24 mjeseca, počevši od 1. 1. 2027.</w:t>
      </w:r>
    </w:p>
    <w:p>
      <w:r>
        <w:t>(2) Ugovor se automatski produljuje za daljnjih 12 mjeseci ako ga nijedna strana pisanim putem ne otkaže najkasnije 90 dana prije isteka.</w:t>
      </w:r>
    </w:p>
    <w:p>
      <w:pPr>
        <w:pStyle w:val="Heading2"/>
      </w:pPr>
      <w:r>
        <w:t>Članak 4. Naknada</w:t>
      </w:r>
    </w:p>
    <w:p>
      <w:r>
        <w:t>(1) Naručitelj plaća Izvršitelju mjesečnu naknadu od 640,00 EUR uvećanu za PDV.</w:t>
      </w:r>
    </w:p>
    <w:p>
      <w:r>
        <w:t>(2) Naknada se plaća do 15. dana u mjesecu za tekući mjesec, na temelju računa Izvršitelja.</w:t>
      </w:r>
    </w:p>
    <w:p>
      <w:pPr>
        <w:pStyle w:val="Heading2"/>
      </w:pPr>
      <w:r>
        <w:t>Članak 5. Radno vrijeme i dodatni rad</w:t>
      </w:r>
    </w:p>
    <w:p>
      <w:r>
        <w:t>(1) Usluge se pružaju radnim danom od 8 do 16 sati.</w:t>
      </w:r>
    </w:p>
    <w:p>
      <w:r>
        <w:t>(2) Rad izvan radnog vremena, na zahtjev Naručitelja, naplaćuje se 45,00 EUR po satu uvećano za PDV.</w:t>
      </w:r>
    </w:p>
    <w:p>
      <w:pPr>
        <w:pStyle w:val="Heading2"/>
      </w:pPr>
      <w:r>
        <w:t>Članak 6. Vrijeme odziva</w:t>
      </w:r>
    </w:p>
    <w:p>
      <w:r>
        <w:t>(1) Za kritični kvar (prestanak rada poslužitelja ili više od pet računala) Izvršitelj započinje s otklanjanjem u roku od 4 sata od prijave u radnom vremenu.</w:t>
      </w:r>
    </w:p>
    <w:p>
      <w:r>
        <w:t>(2) Za ostale kvarove rok odziva je 2 radna dana.</w:t>
      </w:r>
    </w:p>
    <w:p>
      <w:pPr>
        <w:pStyle w:val="Heading2"/>
      </w:pPr>
      <w:r>
        <w:t>Članak 7. Ugovorna kazna</w:t>
      </w:r>
    </w:p>
    <w:p>
      <w:r>
        <w:t>(1) Za svako prekoračenje roka odziva iz članka 6. Izvršitelj plaća ugovornu kaznu od 5 % mjesečne naknade.</w:t>
      </w:r>
    </w:p>
    <w:p>
      <w:r>
        <w:t>(2) Ukupna ugovorna kazna u jednom mjesecu ne može biti veća od 30 % mjesečne naknade.</w:t>
      </w:r>
    </w:p>
    <w:p>
      <w:pPr>
        <w:pStyle w:val="Heading2"/>
      </w:pPr>
      <w:r>
        <w:t>Članak 8. Isključenja</w:t>
      </w:r>
    </w:p>
    <w:p>
      <w:r>
        <w:t>Ugovorom nije obuhvaćeno održavanje opreme starije od 5 godina, popravak šteta nastalih nepravilnim korištenjem te nabava rezervnih dijelova, koji se naplaćuju posebno prema ponudi Izvršitelja.</w:t>
      </w:r>
    </w:p>
    <w:p>
      <w:pPr>
        <w:pStyle w:val="Heading2"/>
      </w:pPr>
      <w:r>
        <w:t>Članak 9. Otkaz</w:t>
      </w:r>
    </w:p>
    <w:p>
      <w:r>
        <w:t>(1) Svaka ugovorna strana može otkazati Ugovor pisanim putem uz otkazni rok od 60 dana.</w:t>
      </w:r>
    </w:p>
    <w:p>
      <w:r>
        <w:t>(2) U slučaju teže povrede Ugovora strana može Ugovor raskinuti bez otkaznog roka.</w:t>
      </w:r>
    </w:p>
    <w:p>
      <w:r>
        <w:t>(3) Ako Naručitelj otkaže Ugovor prije isteka prvih dvanaest (12) mjeseci, dužan je Izvršitelju platiti mjesečnu naknadu za sve preostale mjesece do isteka prvih dvanaest (12) mjeseci.</w:t>
      </w:r>
    </w:p>
    <w:p>
      <w:pPr>
        <w:pStyle w:val="Heading2"/>
      </w:pPr>
      <w:r>
        <w:t>Članak 10. Povjerljivost i zaštita podataka</w:t>
      </w:r>
    </w:p>
    <w:p>
      <w:r>
        <w:t>Izvršitelj se obvezuje čuvati povjerljivost svih podataka do kojih dođe u radu, u skladu s Općom uredbom o zaštiti podataka (GDPR). Obveza traje i tri godine nakon prestanka Ugovora.</w:t>
      </w:r>
    </w:p>
    <w:p>
      <w:pPr>
        <w:pStyle w:val="Heading2"/>
      </w:pPr>
      <w:r>
        <w:t>Članak 11. Rješavanje sporova</w:t>
      </w:r>
    </w:p>
    <w:p>
      <w:r>
        <w:t>Sporove strane rješavaju sporazumno, a ako to nije moguće, nadležan je sud u Zagrebu.</w:t>
      </w:r>
    </w:p>
    <w:p>
      <w:pPr>
        <w:pStyle w:val="Heading2"/>
      </w:pPr>
      <w:r>
        <w:t>Članak 12. Završne odredbe</w:t>
      </w:r>
    </w:p>
    <w:p>
      <w:r>
        <w:t>Ugovor je sastavljen u dva istovjetna primjerka, po jedan za svaku stranu. Izmjene su valjane samo u pisanom obliku.</w:t>
      </w:r>
    </w:p>
    <w:p>
      <w:pPr>
        <w:pStyle w:val="Heading2"/>
      </w:pPr>
      <w:r>
        <w:t>Prilog 1. Popis opreme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Oprema</w:t>
            </w:r>
          </w:p>
        </w:tc>
        <w:tc>
          <w:tcPr>
            <w:tcW w:type="dxa" w:w="2880"/>
          </w:tcPr>
          <w:p>
            <w:r>
              <w:t>Količina</w:t>
            </w:r>
          </w:p>
        </w:tc>
        <w:tc>
          <w:tcPr>
            <w:tcW w:type="dxa" w:w="2880"/>
          </w:tcPr>
          <w:p>
            <w:r>
              <w:t>Godina nabave</w:t>
            </w:r>
          </w:p>
        </w:tc>
      </w:tr>
      <w:tr>
        <w:tc>
          <w:tcPr>
            <w:tcW w:type="dxa" w:w="2880"/>
          </w:tcPr>
          <w:p>
            <w:r>
              <w:t>Radno računalo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2023.</w:t>
            </w:r>
          </w:p>
        </w:tc>
      </w:tr>
      <w:tr>
        <w:tc>
          <w:tcPr>
            <w:tcW w:type="dxa" w:w="2880"/>
          </w:tcPr>
          <w:p>
            <w:r>
              <w:t>Radno računalo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2020.</w:t>
            </w:r>
          </w:p>
        </w:tc>
      </w:tr>
      <w:tr>
        <w:tc>
          <w:tcPr>
            <w:tcW w:type="dxa" w:w="2880"/>
          </w:tcPr>
          <w:p>
            <w:r>
              <w:t>Mrežni pisač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2022.</w:t>
            </w:r>
          </w:p>
        </w:tc>
      </w:tr>
      <w:tr>
        <w:tc>
          <w:tcPr>
            <w:tcW w:type="dxa" w:w="2880"/>
          </w:tcPr>
          <w:p>
            <w:r>
              <w:t>Poslužitelj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2019.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